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9624"/>
      </w:tblGrid>
      <w:tr w:rsidR="009E340C" w:rsidRPr="001555A0" w:rsidTr="009B2D6C">
        <w:trPr>
          <w:trHeight w:val="355"/>
        </w:trPr>
        <w:tc>
          <w:tcPr>
            <w:tcW w:w="9624" w:type="dxa"/>
            <w:shd w:val="clear" w:color="auto" w:fill="D9D9D9" w:themeFill="background1" w:themeFillShade="D9"/>
            <w:vAlign w:val="center"/>
            <w:hideMark/>
          </w:tcPr>
          <w:p w:rsidR="009E340C" w:rsidRPr="001555A0" w:rsidRDefault="009E340C" w:rsidP="009B2D6C">
            <w:pPr>
              <w:spacing w:line="240" w:lineRule="auto"/>
              <w:jc w:val="center"/>
              <w:rPr>
                <w:rFonts w:ascii="Verdana" w:hAnsi="Verdana"/>
              </w:rPr>
            </w:pPr>
            <w:r w:rsidRPr="00287535"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CONTENUTI CHIAVE DELLE MACRO AREE DI FORMAZIONE</w:t>
            </w:r>
          </w:p>
        </w:tc>
      </w:tr>
    </w:tbl>
    <w:p w:rsidR="009E340C" w:rsidRDefault="009E340C" w:rsidP="009E340C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9E340C" w:rsidRDefault="009E340C" w:rsidP="009E340C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Estratto dal </w:t>
      </w:r>
      <w:r w:rsidRPr="001555A0">
        <w:rPr>
          <w:rFonts w:ascii="Verdana" w:hAnsi="Verdana"/>
          <w:i/>
          <w:sz w:val="20"/>
          <w:szCs w:val="20"/>
        </w:rPr>
        <w:t>PIANO PER LA FORMAZIONE DEI DOCENTI</w:t>
      </w:r>
      <w:r>
        <w:rPr>
          <w:rFonts w:ascii="Verdana" w:hAnsi="Verdana"/>
          <w:i/>
          <w:sz w:val="20"/>
          <w:szCs w:val="20"/>
        </w:rPr>
        <w:t xml:space="preserve"> </w:t>
      </w:r>
      <w:r w:rsidRPr="001555A0">
        <w:rPr>
          <w:rFonts w:ascii="Verdana" w:hAnsi="Verdana"/>
          <w:i/>
          <w:sz w:val="20"/>
          <w:szCs w:val="20"/>
        </w:rPr>
        <w:t>2016-2019</w:t>
      </w:r>
      <w:r>
        <w:rPr>
          <w:rFonts w:ascii="Verdana" w:hAnsi="Verdana"/>
          <w:i/>
          <w:sz w:val="20"/>
          <w:szCs w:val="20"/>
        </w:rPr>
        <w:t xml:space="preserve"> pubblicato dal MIUR in data 3 ottobre ’16.</w:t>
      </w:r>
      <w:r w:rsidRPr="00ED0BCB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Per ulteriori dettagli fare riferimento al documento integrale.</w:t>
      </w:r>
      <w:bookmarkStart w:id="0" w:name="_GoBack"/>
      <w:bookmarkEnd w:id="0"/>
    </w:p>
    <w:p w:rsidR="009E340C" w:rsidRPr="008801BC" w:rsidRDefault="009E340C" w:rsidP="009E340C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2395"/>
        <w:gridCol w:w="7229"/>
      </w:tblGrid>
      <w:tr w:rsidR="008801BC" w:rsidRPr="00D15B23" w:rsidTr="00D7305C">
        <w:trPr>
          <w:trHeight w:val="974"/>
        </w:trPr>
        <w:tc>
          <w:tcPr>
            <w:tcW w:w="2395" w:type="dxa"/>
          </w:tcPr>
          <w:p w:rsidR="00D7305C" w:rsidRDefault="00D7305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COMPETENZE DI SISTEMA</w:t>
            </w:r>
            <w:r w:rsidR="008801BC"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: </w:t>
            </w:r>
          </w:p>
          <w:p w:rsidR="008801BC" w:rsidRPr="008801BC" w:rsidRDefault="008801B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Autonomia didattica e organizzativa</w:t>
            </w:r>
          </w:p>
        </w:tc>
        <w:tc>
          <w:tcPr>
            <w:tcW w:w="7229" w:type="dxa"/>
          </w:tcPr>
          <w:p w:rsidR="008801BC" w:rsidRPr="00D7305C" w:rsidRDefault="008801BC" w:rsidP="008801BC">
            <w:pPr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D7305C">
              <w:rPr>
                <w:rFonts w:ascii="Verdana" w:hAnsi="Verdana" w:cs="Arial"/>
                <w:sz w:val="18"/>
              </w:rPr>
              <w:t xml:space="preserve">Progettare nell’ambito dell’autonomia; progettazione europea; flessibilità organizzativa; didattica modulare; gestione della classe; progettazione partecipata degli ambienti di apprendimento; gestione e valorizzazione della quota dell’autonomia del curricolo d’Istituto; utilizzo dell’organico dell’autonomia: modelli e simulazioni; lavorare in gruppo; tempo-scuola; organico potenziato e organico funzionale; </w:t>
            </w:r>
            <w:r w:rsidRPr="00D7305C">
              <w:rPr>
                <w:rFonts w:ascii="Verdana" w:hAnsi="Verdana" w:cs="Arial"/>
                <w:i/>
                <w:sz w:val="18"/>
              </w:rPr>
              <w:t xml:space="preserve">team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teaching</w:t>
            </w:r>
            <w:proofErr w:type="spellEnd"/>
            <w:r w:rsidRPr="00D7305C">
              <w:rPr>
                <w:rFonts w:ascii="Verdana" w:hAnsi="Verdana" w:cs="Arial"/>
                <w:sz w:val="18"/>
              </w:rPr>
              <w:t xml:space="preserve">;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peer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 xml:space="preserve">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review</w:t>
            </w:r>
            <w:proofErr w:type="spellEnd"/>
            <w:r w:rsidRPr="00D7305C">
              <w:rPr>
                <w:rFonts w:ascii="Verdana" w:hAnsi="Verdana" w:cs="Arial"/>
                <w:sz w:val="18"/>
              </w:rPr>
              <w:t xml:space="preserve"> e tutoraggio; ruolo del middle management nella scuola; lavorare nella comunità professionale; progettazione del piano dell’offerta formativa, lavorare in reti e ambiti.</w:t>
            </w:r>
          </w:p>
        </w:tc>
      </w:tr>
      <w:tr w:rsidR="008801BC" w:rsidRPr="00D15B23" w:rsidTr="00D7305C">
        <w:trPr>
          <w:trHeight w:val="974"/>
        </w:trPr>
        <w:tc>
          <w:tcPr>
            <w:tcW w:w="2395" w:type="dxa"/>
          </w:tcPr>
          <w:p w:rsidR="00D7305C" w:rsidRDefault="00D7305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COMPETENZE DI SISTEMA</w:t>
            </w:r>
            <w:r w:rsidR="008801BC"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: </w:t>
            </w:r>
          </w:p>
          <w:p w:rsidR="008801BC" w:rsidRPr="008801BC" w:rsidRDefault="008801B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Valutazione e miglioramento</w:t>
            </w:r>
          </w:p>
        </w:tc>
        <w:tc>
          <w:tcPr>
            <w:tcW w:w="7229" w:type="dxa"/>
          </w:tcPr>
          <w:p w:rsidR="008801BC" w:rsidRPr="00D7305C" w:rsidRDefault="008801BC" w:rsidP="008801BC">
            <w:pPr>
              <w:jc w:val="both"/>
              <w:rPr>
                <w:rFonts w:ascii="Verdana" w:hAnsi="Verdana" w:cs="Arial"/>
                <w:sz w:val="18"/>
              </w:rPr>
            </w:pPr>
            <w:r w:rsidRPr="00D7305C">
              <w:rPr>
                <w:rFonts w:ascii="Verdana" w:hAnsi="Verdana" w:cs="Arial"/>
                <w:sz w:val="18"/>
              </w:rPr>
              <w:t xml:space="preserve">Valutazione didattica: valutazione formativa e sommativa, compiti di realtà e valutazione autentica, valutazione certificazione delle competenze, dossier e portfolio. </w:t>
            </w:r>
          </w:p>
          <w:p w:rsidR="008801BC" w:rsidRPr="00D7305C" w:rsidRDefault="008801BC" w:rsidP="008801BC">
            <w:pPr>
              <w:jc w:val="both"/>
              <w:rPr>
                <w:rFonts w:ascii="Verdana" w:hAnsi="Verdana" w:cs="Arial"/>
                <w:sz w:val="18"/>
              </w:rPr>
            </w:pPr>
            <w:r w:rsidRPr="00D7305C">
              <w:rPr>
                <w:rFonts w:ascii="Verdana" w:hAnsi="Verdana" w:cs="Arial"/>
                <w:sz w:val="18"/>
              </w:rPr>
              <w:t xml:space="preserve">Valutazione professionale: profilo professionale, standard professionali, capacità di autoanalisi, bilancio di competenze, documentazione dei crediti, documentazione didattica,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peer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 xml:space="preserve">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review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>, agency professionale</w:t>
            </w:r>
            <w:r w:rsidRPr="00D7305C">
              <w:rPr>
                <w:rFonts w:ascii="Verdana" w:hAnsi="Verdana" w:cs="Arial"/>
                <w:sz w:val="18"/>
              </w:rPr>
              <w:t xml:space="preserve">. </w:t>
            </w:r>
          </w:p>
          <w:p w:rsidR="008801BC" w:rsidRPr="00D7305C" w:rsidRDefault="008801BC" w:rsidP="008801BC">
            <w:pPr>
              <w:jc w:val="both"/>
              <w:rPr>
                <w:rFonts w:ascii="Verdana" w:hAnsi="Verdana" w:cs="Arial"/>
                <w:sz w:val="18"/>
              </w:rPr>
            </w:pPr>
            <w:r w:rsidRPr="00D7305C">
              <w:rPr>
                <w:rFonts w:ascii="Verdana" w:hAnsi="Verdana" w:cs="Arial"/>
                <w:sz w:val="18"/>
              </w:rPr>
              <w:t>Valutazione della scuola: autovalutazione, monitoraggio, processi di miglioramento e piani di miglioramento, utilizzo e gestione dei dati, rendicontazione sociale e bilancio sociale.</w:t>
            </w:r>
          </w:p>
        </w:tc>
      </w:tr>
      <w:tr w:rsidR="008801BC" w:rsidRPr="00D15B23" w:rsidTr="00D7305C">
        <w:trPr>
          <w:trHeight w:val="974"/>
        </w:trPr>
        <w:tc>
          <w:tcPr>
            <w:tcW w:w="2395" w:type="dxa"/>
          </w:tcPr>
          <w:p w:rsidR="00D7305C" w:rsidRDefault="00D7305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COMPETENZE DI SISTEMA</w:t>
            </w:r>
            <w:r w:rsidR="008801BC"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: </w:t>
            </w:r>
          </w:p>
          <w:p w:rsidR="008801BC" w:rsidRPr="008801BC" w:rsidRDefault="008801B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Didattica per competenze e innovazione metodologica</w:t>
            </w:r>
          </w:p>
        </w:tc>
        <w:tc>
          <w:tcPr>
            <w:tcW w:w="7229" w:type="dxa"/>
          </w:tcPr>
          <w:p w:rsidR="008801BC" w:rsidRPr="00D7305C" w:rsidRDefault="008801BC" w:rsidP="008801BC">
            <w:pPr>
              <w:jc w:val="both"/>
              <w:rPr>
                <w:rFonts w:ascii="Verdana" w:hAnsi="Verdana" w:cs="Arial"/>
                <w:sz w:val="18"/>
              </w:rPr>
            </w:pPr>
            <w:r w:rsidRPr="00D7305C">
              <w:rPr>
                <w:rFonts w:ascii="Verdana" w:hAnsi="Verdana" w:cs="Arial"/>
                <w:sz w:val="18"/>
              </w:rPr>
              <w:t xml:space="preserve">Didattiche collaborative e costruttive; rapporto tra </w:t>
            </w:r>
            <w:proofErr w:type="spellStart"/>
            <w:r w:rsidRPr="00D7305C">
              <w:rPr>
                <w:rFonts w:ascii="Verdana" w:hAnsi="Verdana" w:cs="Arial"/>
                <w:sz w:val="18"/>
              </w:rPr>
              <w:t>saperi</w:t>
            </w:r>
            <w:proofErr w:type="spellEnd"/>
            <w:r w:rsidRPr="00D7305C">
              <w:rPr>
                <w:rFonts w:ascii="Verdana" w:hAnsi="Verdana" w:cs="Arial"/>
                <w:sz w:val="18"/>
              </w:rPr>
              <w:t xml:space="preserve"> disciplinari e didattica per competenze; rafforzamento delle competenze di base; passaggio dai modelli di certificazione delle competenze alla programmazione “a ritroso”; progressione degli apprendimenti; compiti di realtà e apprendimento efficace; imparare ad imparare: per un apprendimento permanente; metodologie: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project-based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 xml:space="preserve">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learning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 xml:space="preserve">, cooperative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learning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 xml:space="preserve">,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peer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 xml:space="preserve">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teaching</w:t>
            </w:r>
            <w:proofErr w:type="spellEnd"/>
            <w:r w:rsidRPr="00D7305C">
              <w:rPr>
                <w:rFonts w:ascii="Verdana" w:hAnsi="Verdana" w:cs="Arial"/>
                <w:sz w:val="18"/>
              </w:rPr>
              <w:t xml:space="preserve"> e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peer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 xml:space="preserve"> tutoring,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mentoring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 xml:space="preserve">,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learning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 xml:space="preserve"> by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doing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 xml:space="preserve">,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flipped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 xml:space="preserve">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classroom</w:t>
            </w:r>
            <w:proofErr w:type="spellEnd"/>
            <w:r w:rsidRPr="00D7305C">
              <w:rPr>
                <w:rFonts w:ascii="Verdana" w:hAnsi="Verdana" w:cs="Arial"/>
                <w:sz w:val="18"/>
              </w:rPr>
              <w:t xml:space="preserve">, didattica attiva;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peer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 xml:space="preserve">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observation</w:t>
            </w:r>
            <w:proofErr w:type="spellEnd"/>
            <w:r w:rsidRPr="00D7305C">
              <w:rPr>
                <w:rFonts w:ascii="Verdana" w:hAnsi="Verdana" w:cs="Arial"/>
                <w:sz w:val="18"/>
              </w:rPr>
              <w:t>; ambienti di apprendimento formali e informali; rubriche valutative.</w:t>
            </w:r>
          </w:p>
        </w:tc>
      </w:tr>
      <w:tr w:rsidR="008801BC" w:rsidRPr="00D15B23" w:rsidTr="00D7305C">
        <w:trPr>
          <w:trHeight w:val="974"/>
        </w:trPr>
        <w:tc>
          <w:tcPr>
            <w:tcW w:w="2395" w:type="dxa"/>
          </w:tcPr>
          <w:p w:rsidR="00D7305C" w:rsidRDefault="00D7305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COMPETENZE PER IL 21° SECOLO</w:t>
            </w:r>
            <w:r w:rsidR="008801BC"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: </w:t>
            </w:r>
          </w:p>
          <w:p w:rsidR="008801BC" w:rsidRPr="008801BC" w:rsidRDefault="008801B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Lingue straniere</w:t>
            </w:r>
          </w:p>
        </w:tc>
        <w:tc>
          <w:tcPr>
            <w:tcW w:w="7229" w:type="dxa"/>
          </w:tcPr>
          <w:p w:rsidR="008801BC" w:rsidRPr="00D7305C" w:rsidRDefault="008801BC" w:rsidP="008801BC">
            <w:pPr>
              <w:jc w:val="both"/>
              <w:rPr>
                <w:rFonts w:ascii="Verdana" w:hAnsi="Verdana" w:cs="Arial"/>
                <w:sz w:val="18"/>
              </w:rPr>
            </w:pPr>
            <w:r w:rsidRPr="00D7305C">
              <w:rPr>
                <w:rFonts w:ascii="Verdana" w:hAnsi="Verdana" w:cs="Arial"/>
                <w:sz w:val="18"/>
              </w:rPr>
              <w:t>Lingue straniere; competenze linguistico-comunicative; curricoli verticali per le lingue straniere; la dimensione linguistica nella metodologia CLIL; educazione linguistica; competenze metodologiche per l’insegnamento delle lingue straniere; verifica e valutazione dell’apprendimento linguistico in relazione al Quadro Comune Europeo di Riferimento; competenze digitali e nuovi ambienti per l’apprendimento; plurilinguismo; rapporto tra lingue, competenze interculturali; dialogo interculturale e cittadinanza globale; internazionalizzazione dei curricoli; mobilità transnazionale (</w:t>
            </w:r>
            <w:r w:rsidRPr="00D7305C">
              <w:rPr>
                <w:rFonts w:ascii="Verdana" w:hAnsi="Verdana" w:cs="Arial"/>
                <w:i/>
                <w:sz w:val="18"/>
              </w:rPr>
              <w:t xml:space="preserve">stage, job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shadowing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>, visite di studio, scambi e permanenze all’estero</w:t>
            </w:r>
            <w:r w:rsidRPr="00D7305C">
              <w:rPr>
                <w:rFonts w:ascii="Verdana" w:hAnsi="Verdana" w:cs="Arial"/>
                <w:sz w:val="18"/>
              </w:rPr>
              <w:t>).</w:t>
            </w:r>
          </w:p>
        </w:tc>
      </w:tr>
      <w:tr w:rsidR="008801BC" w:rsidRPr="00D15B23" w:rsidTr="00D7305C">
        <w:trPr>
          <w:trHeight w:val="405"/>
        </w:trPr>
        <w:tc>
          <w:tcPr>
            <w:tcW w:w="2395" w:type="dxa"/>
          </w:tcPr>
          <w:p w:rsidR="00D7305C" w:rsidRDefault="00D7305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COMPETENZE PER IL 21° SECOLO</w:t>
            </w:r>
            <w:r w:rsidR="008801BC"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: </w:t>
            </w:r>
          </w:p>
          <w:p w:rsidR="008801BC" w:rsidRPr="008801BC" w:rsidRDefault="008801B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Competenze digitali e nuovi ambienti per l’apprendimento</w:t>
            </w:r>
          </w:p>
        </w:tc>
        <w:tc>
          <w:tcPr>
            <w:tcW w:w="7229" w:type="dxa"/>
          </w:tcPr>
          <w:p w:rsidR="008801BC" w:rsidRPr="00D7305C" w:rsidRDefault="008801BC" w:rsidP="008801BC">
            <w:pPr>
              <w:jc w:val="both"/>
              <w:rPr>
                <w:rFonts w:ascii="Verdana" w:hAnsi="Verdana" w:cs="Arial"/>
                <w:sz w:val="18"/>
              </w:rPr>
            </w:pPr>
            <w:r w:rsidRPr="00D7305C">
              <w:rPr>
                <w:rFonts w:ascii="Verdana" w:hAnsi="Verdana" w:cs="Arial"/>
                <w:sz w:val="18"/>
              </w:rPr>
              <w:t>Missione e visione del PNSD; cultura digitale e cultura dell’innovazione; integrazione PNSD-PTOF; ambienti per la didattica digitale integrata e per la collaborazione; scenari e processi didattici per l’integrazione degli ambienti digitali per la didattica e l’uso di dispositivi individuali a scuola (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Bring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 xml:space="preserve"> Your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Own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 xml:space="preserve"> Device</w:t>
            </w:r>
            <w:r w:rsidRPr="00D7305C">
              <w:rPr>
                <w:rFonts w:ascii="Verdana" w:hAnsi="Verdana" w:cs="Arial"/>
                <w:sz w:val="18"/>
              </w:rPr>
              <w:t xml:space="preserve"> - BYOD); valorizzazione delle pratiche innovative; coinvolgimento della comunità scolastica e territoriale; sperimentazione e diffusione di metodologie e processi di didattica attiva e collaborativa; documentazione dell’attività didattica; risorse educative aperte (</w:t>
            </w:r>
            <w:r w:rsidRPr="00D7305C">
              <w:rPr>
                <w:rFonts w:ascii="Verdana" w:hAnsi="Verdana" w:cs="Arial"/>
                <w:i/>
                <w:sz w:val="18"/>
              </w:rPr>
              <w:t xml:space="preserve">Open Educational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Resources</w:t>
            </w:r>
            <w:proofErr w:type="spellEnd"/>
            <w:r w:rsidRPr="00D7305C">
              <w:rPr>
                <w:rFonts w:ascii="Verdana" w:hAnsi="Verdana" w:cs="Arial"/>
                <w:i/>
                <w:sz w:val="18"/>
              </w:rPr>
              <w:t xml:space="preserve"> </w:t>
            </w:r>
            <w:r w:rsidRPr="00D7305C">
              <w:rPr>
                <w:rFonts w:ascii="Verdana" w:hAnsi="Verdana" w:cs="Arial"/>
                <w:sz w:val="18"/>
              </w:rPr>
              <w:t xml:space="preserve">- OER); archivi digitali online e affidabilità delle fonti; tecniche di costruzione di contenuti digitali per la didattica; copyright e licenze aperte; open source e condivisione del sapere; documentazione digitale e biblioteche scolastiche; ICT per l’inclusione; educazione ai media; </w:t>
            </w:r>
            <w:r w:rsidRPr="00D7305C">
              <w:rPr>
                <w:rFonts w:ascii="Verdana" w:hAnsi="Verdana" w:cs="Arial"/>
                <w:i/>
                <w:sz w:val="18"/>
              </w:rPr>
              <w:t>social media policy</w:t>
            </w:r>
            <w:r w:rsidRPr="00D7305C">
              <w:rPr>
                <w:rFonts w:ascii="Verdana" w:hAnsi="Verdana" w:cs="Arial"/>
                <w:sz w:val="18"/>
              </w:rPr>
              <w:t xml:space="preserve"> e uso professionale dei social media; collaborazione e comunicazione in rete; cittadinanza digitale; ricerca, selezione, organizzazione di informazioni; (</w:t>
            </w:r>
            <w:r w:rsidRPr="00D7305C">
              <w:rPr>
                <w:rFonts w:ascii="Verdana" w:hAnsi="Verdana" w:cs="Arial"/>
                <w:i/>
                <w:sz w:val="18"/>
              </w:rPr>
              <w:t xml:space="preserve">open e big) data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literacy</w:t>
            </w:r>
            <w:proofErr w:type="spellEnd"/>
            <w:r w:rsidRPr="00D7305C">
              <w:rPr>
                <w:rFonts w:ascii="Verdana" w:hAnsi="Verdana" w:cs="Arial"/>
                <w:sz w:val="18"/>
              </w:rPr>
              <w:t>; pensiero computazionale; creatività digitale (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making</w:t>
            </w:r>
            <w:proofErr w:type="spellEnd"/>
            <w:r w:rsidRPr="00D7305C">
              <w:rPr>
                <w:rFonts w:ascii="Verdana" w:hAnsi="Verdana" w:cs="Arial"/>
                <w:sz w:val="18"/>
              </w:rPr>
              <w:t xml:space="preserve">) e robotica educativa; </w:t>
            </w:r>
            <w:r w:rsidRPr="00D7305C">
              <w:rPr>
                <w:rFonts w:ascii="Verdana" w:hAnsi="Verdana" w:cs="Arial"/>
                <w:i/>
                <w:sz w:val="18"/>
              </w:rPr>
              <w:t xml:space="preserve">information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literacy</w:t>
            </w:r>
            <w:proofErr w:type="spellEnd"/>
            <w:r w:rsidRPr="00D7305C">
              <w:rPr>
                <w:rFonts w:ascii="Verdana" w:hAnsi="Verdana" w:cs="Arial"/>
                <w:sz w:val="18"/>
              </w:rPr>
              <w:t>.</w:t>
            </w:r>
          </w:p>
        </w:tc>
      </w:tr>
      <w:tr w:rsidR="008801BC" w:rsidRPr="00D15B23" w:rsidTr="00D7305C">
        <w:trPr>
          <w:trHeight w:val="974"/>
        </w:trPr>
        <w:tc>
          <w:tcPr>
            <w:tcW w:w="2395" w:type="dxa"/>
          </w:tcPr>
          <w:p w:rsidR="00D7305C" w:rsidRDefault="00D7305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lastRenderedPageBreak/>
              <w:t>COMPETENZE PER IL 21° SECOLO</w:t>
            </w:r>
            <w:r w:rsidR="008801BC"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: </w:t>
            </w:r>
          </w:p>
          <w:p w:rsidR="008801BC" w:rsidRPr="008801BC" w:rsidRDefault="008801B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Scuola e lavoro</w:t>
            </w:r>
          </w:p>
        </w:tc>
        <w:tc>
          <w:tcPr>
            <w:tcW w:w="7229" w:type="dxa"/>
          </w:tcPr>
          <w:p w:rsidR="008801BC" w:rsidRPr="00D7305C" w:rsidRDefault="008801BC" w:rsidP="008801BC">
            <w:pPr>
              <w:jc w:val="both"/>
              <w:rPr>
                <w:rFonts w:ascii="Verdana" w:hAnsi="Verdana" w:cs="Arial"/>
                <w:sz w:val="18"/>
              </w:rPr>
            </w:pPr>
            <w:r w:rsidRPr="00D7305C">
              <w:rPr>
                <w:rFonts w:ascii="Verdana" w:hAnsi="Verdana" w:cs="Arial"/>
                <w:sz w:val="18"/>
              </w:rPr>
              <w:t xml:space="preserve">Alternanza scuola-lavoro; competenze trasversali; imprenditorialità; orientamento; inquadramento giuridico; tutoraggio interno ed esterno; educazione finanziaria; </w:t>
            </w:r>
            <w:proofErr w:type="spellStart"/>
            <w:r w:rsidRPr="00D7305C">
              <w:rPr>
                <w:rFonts w:ascii="Verdana" w:hAnsi="Verdana" w:cs="Arial"/>
                <w:sz w:val="18"/>
              </w:rPr>
              <w:t>learning</w:t>
            </w:r>
            <w:proofErr w:type="spellEnd"/>
            <w:r w:rsidRPr="00D7305C">
              <w:rPr>
                <w:rFonts w:ascii="Verdana" w:hAnsi="Verdana" w:cs="Arial"/>
                <w:sz w:val="18"/>
              </w:rPr>
              <w:t xml:space="preserve"> by </w:t>
            </w:r>
            <w:proofErr w:type="spellStart"/>
            <w:r w:rsidRPr="00D7305C">
              <w:rPr>
                <w:rFonts w:ascii="Verdana" w:hAnsi="Verdana" w:cs="Arial"/>
                <w:sz w:val="18"/>
              </w:rPr>
              <w:t>doing</w:t>
            </w:r>
            <w:proofErr w:type="spellEnd"/>
            <w:r w:rsidRPr="00D7305C">
              <w:rPr>
                <w:rFonts w:ascii="Verdana" w:hAnsi="Verdana" w:cs="Arial"/>
                <w:sz w:val="18"/>
              </w:rPr>
              <w:t>, impresa formativa simulata, validazione delle competenze, forme di coordinamento territoriale; assicurazione per gli studenti; salute e sicurezza nei luoghi di lavoro.</w:t>
            </w:r>
          </w:p>
        </w:tc>
      </w:tr>
      <w:tr w:rsidR="008801BC" w:rsidRPr="00D15B23" w:rsidTr="00D7305C">
        <w:trPr>
          <w:trHeight w:val="974"/>
        </w:trPr>
        <w:tc>
          <w:tcPr>
            <w:tcW w:w="2395" w:type="dxa"/>
          </w:tcPr>
          <w:p w:rsidR="00D7305C" w:rsidRDefault="00D7305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COMPETENZE PER UNA SCUOLA INCLUSIVA</w:t>
            </w:r>
            <w:r w:rsidR="008801BC"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: </w:t>
            </w:r>
          </w:p>
          <w:p w:rsidR="008801BC" w:rsidRPr="008801BC" w:rsidRDefault="008801B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Integrazione, competenze di cittadinanza e cittadinanza globale</w:t>
            </w:r>
          </w:p>
        </w:tc>
        <w:tc>
          <w:tcPr>
            <w:tcW w:w="7229" w:type="dxa"/>
          </w:tcPr>
          <w:p w:rsidR="008801BC" w:rsidRPr="00D7305C" w:rsidRDefault="008801BC" w:rsidP="008801BC">
            <w:pPr>
              <w:jc w:val="both"/>
              <w:rPr>
                <w:rFonts w:ascii="Verdana" w:hAnsi="Verdana" w:cs="Arial"/>
                <w:sz w:val="18"/>
              </w:rPr>
            </w:pPr>
            <w:r w:rsidRPr="00D7305C">
              <w:rPr>
                <w:rFonts w:ascii="Verdana" w:hAnsi="Verdana" w:cs="Arial"/>
                <w:sz w:val="18"/>
              </w:rPr>
              <w:t xml:space="preserve">Cittadinanza globale; identità culturale; interlingua e ambiente plurilingue; seconde generazioni; gestione della classe; competenze glottodidattiche; italiano L2; mediazione linguistica e culturale; globalizzazione e interdipendenza; spazio culturale europeo; lingue "del patrimonio" e lingue veicolari; cittadinanza attiva e diritti del cittadino; stili di vita; educazione ambientale; educazione alimentare; cura dei beni comuni; pari opportunità; spirito critico, dialogo e </w:t>
            </w:r>
            <w:r w:rsidRPr="00D7305C">
              <w:rPr>
                <w:rFonts w:ascii="Verdana" w:hAnsi="Verdana" w:cs="Arial"/>
                <w:i/>
                <w:sz w:val="18"/>
              </w:rPr>
              <w:t xml:space="preserve">media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literacy</w:t>
            </w:r>
            <w:proofErr w:type="spellEnd"/>
            <w:r w:rsidRPr="00D7305C">
              <w:rPr>
                <w:rFonts w:ascii="Verdana" w:hAnsi="Verdana" w:cs="Arial"/>
                <w:sz w:val="18"/>
              </w:rPr>
              <w:t>, dialogo interculturale e interreligioso; migrazioni; educazione alla pace; cittadinanza scientifica.</w:t>
            </w:r>
          </w:p>
        </w:tc>
      </w:tr>
      <w:tr w:rsidR="008801BC" w:rsidRPr="00D15B23" w:rsidTr="00D7305C">
        <w:trPr>
          <w:trHeight w:val="974"/>
        </w:trPr>
        <w:tc>
          <w:tcPr>
            <w:tcW w:w="2395" w:type="dxa"/>
          </w:tcPr>
          <w:p w:rsidR="00D7305C" w:rsidRDefault="00D7305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COMPETENZE PER UNA SCUOLA INCLUSIVA</w:t>
            </w:r>
            <w:r w:rsidR="008801BC"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: </w:t>
            </w:r>
          </w:p>
          <w:p w:rsidR="008801BC" w:rsidRPr="008801BC" w:rsidRDefault="008801B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Inclusione e disabilità</w:t>
            </w:r>
          </w:p>
        </w:tc>
        <w:tc>
          <w:tcPr>
            <w:tcW w:w="7229" w:type="dxa"/>
          </w:tcPr>
          <w:p w:rsidR="008801BC" w:rsidRPr="00D7305C" w:rsidRDefault="008801BC" w:rsidP="008801BC">
            <w:pPr>
              <w:jc w:val="both"/>
              <w:rPr>
                <w:rFonts w:ascii="Verdana" w:hAnsi="Verdana" w:cs="Arial"/>
                <w:sz w:val="18"/>
              </w:rPr>
            </w:pPr>
            <w:r w:rsidRPr="00D7305C">
              <w:rPr>
                <w:rFonts w:ascii="Verdana" w:hAnsi="Verdana" w:cs="Arial"/>
                <w:sz w:val="18"/>
              </w:rPr>
              <w:t>La scuola inclusiva: ambienti, relazioni, flessibilità ; classi inclusive; progettazione individualizzata e personalizzata: modelli e metodologie; valutazione degli apprendimenti e certificazione delle competenze degli alunni con disabilità; autovalutazione, valutazione e miglioramento dell’inclusione nell’istituto; piano dell’inclusione: strategie e strumenti; la corresponsabilità educativa; gestione della classe; leadership educativa per l’inclusione; tecnologie digitali per l’inclusione; didattiche collaborative, differenziazione didattica, misure compensative e dispensative; ruolo delle figure specialistiche; ruolo del personale ATA; ruolo di altri soggetti del territorio appartenenti alla “comunità educante”; relazione tra progettazione e metodologie didattiche curriculari e sviluppo di competenze complementari sviluppate anche in orario extrascolastico che concorrono positivamente al percorso educativo complessivo; sostegno “diffuso”; progetto di vita.</w:t>
            </w:r>
          </w:p>
        </w:tc>
      </w:tr>
      <w:tr w:rsidR="008801BC" w:rsidRPr="00D15B23" w:rsidTr="00D7305C">
        <w:trPr>
          <w:trHeight w:val="974"/>
        </w:trPr>
        <w:tc>
          <w:tcPr>
            <w:tcW w:w="2395" w:type="dxa"/>
          </w:tcPr>
          <w:p w:rsidR="00D7305C" w:rsidRDefault="00D7305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COMPETENZE PER UNA SCUOLA INCLUSIVA</w:t>
            </w:r>
            <w:r w:rsidR="008801BC"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: </w:t>
            </w:r>
          </w:p>
          <w:p w:rsidR="008801BC" w:rsidRPr="008801BC" w:rsidRDefault="008801BC" w:rsidP="008801B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801BC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Coesione sociale e prevenzione del disagio giovanile</w:t>
            </w:r>
          </w:p>
        </w:tc>
        <w:tc>
          <w:tcPr>
            <w:tcW w:w="7229" w:type="dxa"/>
          </w:tcPr>
          <w:p w:rsidR="008801BC" w:rsidRPr="00D7305C" w:rsidRDefault="008801BC" w:rsidP="008801BC">
            <w:pPr>
              <w:jc w:val="both"/>
              <w:rPr>
                <w:rFonts w:ascii="Verdana" w:hAnsi="Verdana" w:cs="Arial"/>
                <w:sz w:val="18"/>
              </w:rPr>
            </w:pPr>
            <w:r w:rsidRPr="00D7305C">
              <w:rPr>
                <w:rFonts w:ascii="Verdana" w:hAnsi="Verdana" w:cs="Arial"/>
                <w:sz w:val="18"/>
              </w:rPr>
              <w:t xml:space="preserve">L’educazione al rispetto dell’altro; il riconoscimento dei valori della diversità come risorsa e non come fonte di disuguaglianza; lotta alle discriminazioni; prevenzione del bullismo e del </w:t>
            </w:r>
            <w:proofErr w:type="spellStart"/>
            <w:r w:rsidRPr="00D7305C">
              <w:rPr>
                <w:rFonts w:ascii="Verdana" w:hAnsi="Verdana" w:cs="Arial"/>
                <w:sz w:val="18"/>
              </w:rPr>
              <w:t>cyberbullismo</w:t>
            </w:r>
            <w:proofErr w:type="spellEnd"/>
            <w:r w:rsidRPr="00D7305C">
              <w:rPr>
                <w:rFonts w:ascii="Verdana" w:hAnsi="Verdana" w:cs="Arial"/>
                <w:sz w:val="18"/>
              </w:rPr>
              <w:t>; potenziamento delle competenze di base e delle “</w:t>
            </w:r>
            <w:r w:rsidRPr="00D7305C">
              <w:rPr>
                <w:rFonts w:ascii="Verdana" w:hAnsi="Verdana" w:cs="Arial"/>
                <w:i/>
                <w:sz w:val="18"/>
              </w:rPr>
              <w:t xml:space="preserve">life </w:t>
            </w:r>
            <w:proofErr w:type="spellStart"/>
            <w:r w:rsidRPr="00D7305C">
              <w:rPr>
                <w:rFonts w:ascii="Verdana" w:hAnsi="Verdana" w:cs="Arial"/>
                <w:i/>
                <w:sz w:val="18"/>
              </w:rPr>
              <w:t>skills</w:t>
            </w:r>
            <w:proofErr w:type="spellEnd"/>
            <w:r w:rsidRPr="00D7305C">
              <w:rPr>
                <w:rFonts w:ascii="Verdana" w:hAnsi="Verdana" w:cs="Arial"/>
                <w:sz w:val="18"/>
              </w:rPr>
              <w:t>”; didattiche collaborative, differenziazione didattica, misure compensative e dispensative; gestione della classe; ruolo delle figure specialistiche; ruolo del personale ATA; ruolo di altri soggetti del territorio appartenenti alla “comunità educante”; progettazione di interventi per il recupero del disagio e per prevenire fenomeni di violenza a scuola; metodologie didattiche curriculari e sviluppo di competenze complementari sviluppate anche in orario extrascolastico che concorrono positivamente al percorso educativo complessivo.</w:t>
            </w:r>
          </w:p>
        </w:tc>
      </w:tr>
    </w:tbl>
    <w:p w:rsidR="00683515" w:rsidRDefault="00683515" w:rsidP="00683515">
      <w:pPr>
        <w:pStyle w:val="Normale1"/>
        <w:spacing w:line="240" w:lineRule="auto"/>
        <w:rPr>
          <w:rFonts w:ascii="Verdana" w:hAnsi="Verdana" w:cs="Calibri"/>
          <w:sz w:val="20"/>
          <w:szCs w:val="20"/>
        </w:rPr>
      </w:pPr>
    </w:p>
    <w:sectPr w:rsidR="00683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EAE"/>
    <w:multiLevelType w:val="hybridMultilevel"/>
    <w:tmpl w:val="D7DE18FA"/>
    <w:lvl w:ilvl="0" w:tplc="7472C3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019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0CD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497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C68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0C1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6C8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2AE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6B4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5179C"/>
    <w:multiLevelType w:val="hybridMultilevel"/>
    <w:tmpl w:val="03EE3830"/>
    <w:lvl w:ilvl="0" w:tplc="BDA28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22E81"/>
    <w:multiLevelType w:val="hybridMultilevel"/>
    <w:tmpl w:val="A9E404D0"/>
    <w:lvl w:ilvl="0" w:tplc="BDA28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7138F"/>
    <w:multiLevelType w:val="hybridMultilevel"/>
    <w:tmpl w:val="258609A4"/>
    <w:lvl w:ilvl="0" w:tplc="EE08596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767BC"/>
    <w:multiLevelType w:val="hybridMultilevel"/>
    <w:tmpl w:val="E79611A2"/>
    <w:lvl w:ilvl="0" w:tplc="8AE866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867078"/>
    <w:multiLevelType w:val="hybridMultilevel"/>
    <w:tmpl w:val="0A025376"/>
    <w:lvl w:ilvl="0" w:tplc="343C3D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094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285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E2A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EB4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AE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6BD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2F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08C9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8507DB"/>
    <w:multiLevelType w:val="multilevel"/>
    <w:tmpl w:val="FFFFFFFF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</w:rPr>
    </w:lvl>
  </w:abstractNum>
  <w:abstractNum w:abstractNumId="7">
    <w:nsid w:val="39140490"/>
    <w:multiLevelType w:val="hybridMultilevel"/>
    <w:tmpl w:val="4BE4F2BC"/>
    <w:lvl w:ilvl="0" w:tplc="C874A9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854A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3C8AC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10853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EDF0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8AD66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25B3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050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D0AF8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D6D5B47"/>
    <w:multiLevelType w:val="hybridMultilevel"/>
    <w:tmpl w:val="06ECE6CC"/>
    <w:lvl w:ilvl="0" w:tplc="B79C53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AE9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AE3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8F4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AE8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C89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6A1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4B6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804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F24AE3"/>
    <w:multiLevelType w:val="multilevel"/>
    <w:tmpl w:val="FFFFFFFF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abstractNum w:abstractNumId="10">
    <w:nsid w:val="62C27886"/>
    <w:multiLevelType w:val="hybridMultilevel"/>
    <w:tmpl w:val="ED9AC984"/>
    <w:lvl w:ilvl="0" w:tplc="BDA28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705CA"/>
    <w:multiLevelType w:val="hybridMultilevel"/>
    <w:tmpl w:val="8A00B71E"/>
    <w:lvl w:ilvl="0" w:tplc="BDA28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1133C"/>
    <w:multiLevelType w:val="hybridMultilevel"/>
    <w:tmpl w:val="35C4F222"/>
    <w:lvl w:ilvl="0" w:tplc="D0F00A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947AD"/>
    <w:multiLevelType w:val="hybridMultilevel"/>
    <w:tmpl w:val="F81CE7F4"/>
    <w:lvl w:ilvl="0" w:tplc="EE08596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13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80"/>
    <w:rsid w:val="00115D80"/>
    <w:rsid w:val="001555A0"/>
    <w:rsid w:val="001C061F"/>
    <w:rsid w:val="00362C77"/>
    <w:rsid w:val="003D4C1B"/>
    <w:rsid w:val="00683515"/>
    <w:rsid w:val="007754A0"/>
    <w:rsid w:val="007C71DB"/>
    <w:rsid w:val="008348A5"/>
    <w:rsid w:val="00843805"/>
    <w:rsid w:val="00867321"/>
    <w:rsid w:val="008801BC"/>
    <w:rsid w:val="009E340C"/>
    <w:rsid w:val="00A91C4B"/>
    <w:rsid w:val="00B02A1B"/>
    <w:rsid w:val="00D01AB8"/>
    <w:rsid w:val="00D341E0"/>
    <w:rsid w:val="00D7305C"/>
    <w:rsid w:val="00E15421"/>
    <w:rsid w:val="00ED0BCB"/>
    <w:rsid w:val="00EE5B20"/>
    <w:rsid w:val="00FA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8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48A5"/>
    <w:pPr>
      <w:ind w:left="720"/>
      <w:contextualSpacing/>
    </w:pPr>
  </w:style>
  <w:style w:type="paragraph" w:customStyle="1" w:styleId="Normale1">
    <w:name w:val="Normale1"/>
    <w:uiPriority w:val="99"/>
    <w:rsid w:val="00867321"/>
    <w:pP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8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48A5"/>
    <w:pPr>
      <w:ind w:left="720"/>
      <w:contextualSpacing/>
    </w:pPr>
  </w:style>
  <w:style w:type="paragraph" w:customStyle="1" w:styleId="Normale1">
    <w:name w:val="Normale1"/>
    <w:uiPriority w:val="99"/>
    <w:rsid w:val="00867321"/>
    <w:pP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08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9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3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98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379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427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91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072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450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690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ITCTS Vittorio Emanuele II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Giaveri</dc:creator>
  <cp:lastModifiedBy>Giaveri Patrizia</cp:lastModifiedBy>
  <cp:revision>2</cp:revision>
  <dcterms:created xsi:type="dcterms:W3CDTF">2019-10-30T09:36:00Z</dcterms:created>
  <dcterms:modified xsi:type="dcterms:W3CDTF">2019-10-30T09:36:00Z</dcterms:modified>
</cp:coreProperties>
</file>